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OŠ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32"/>
          <w:szCs w:val="32"/>
          <w:lang w:val="hr-HR" w:eastAsia="en-US" w:bidi="ar-SA"/>
        </w:rPr>
        <w:t>MURTERSKI ŠKOJI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Elementi vrednovanja u nastavi kemije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Usvojenost kemijskih koncepata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Prirodoznanstvene kompetencije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Usvojenost kemijskih koncepata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Style w:val="Kurziv"/>
          <w:rFonts w:cs="Times New Roman" w:ascii="Times New Roman" w:hAnsi="Times New Roman"/>
          <w:i/>
          <w:iCs/>
          <w:color w:val="231F20"/>
          <w:sz w:val="28"/>
          <w:szCs w:val="28"/>
        </w:rPr>
        <w:t xml:space="preserve">Usvojenost kemijskih koncepata </w:t>
      </w:r>
      <w:r>
        <w:rPr>
          <w:rFonts w:cs="Times New Roman" w:ascii="Times New Roman" w:hAnsi="Times New Roman"/>
          <w:color w:val="231F20"/>
          <w:sz w:val="28"/>
          <w:szCs w:val="28"/>
          <w:shd w:fill="FFFFFF" w:val="clear"/>
        </w:rPr>
        <w:t>kao element ocjenjivanja podrazumijeva prosudbe o znanju i razumijevanju koncepata, pojmova, činjenica i postupaka u kemiji.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Nedovoljan: </w:t>
      </w:r>
      <w:r>
        <w:rPr>
          <w:rFonts w:cs="Times New Roman" w:ascii="Times New Roman" w:hAnsi="Times New Roman"/>
          <w:sz w:val="28"/>
          <w:szCs w:val="28"/>
        </w:rPr>
        <w:t>učenik nije usvojio minimum temeljnih pojmova, ne prepoznaje osnovnu tematiku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Dovoljan</w:t>
      </w:r>
      <w:r>
        <w:rPr>
          <w:rFonts w:cs="Times New Roman" w:ascii="Times New Roman" w:hAnsi="Times New Roman"/>
          <w:sz w:val="28"/>
          <w:szCs w:val="28"/>
        </w:rPr>
        <w:t>: prepoznaje temeljne pojmove, odgovara po sjećanju, bez dubljeg razumijevanja, do rezultata dolazi uz pomoć nastavnika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Dobar</w:t>
      </w:r>
      <w:r>
        <w:rPr>
          <w:rFonts w:cs="Times New Roman" w:ascii="Times New Roman" w:hAnsi="Times New Roman"/>
          <w:sz w:val="28"/>
          <w:szCs w:val="28"/>
        </w:rPr>
        <w:t>: reproducira temeljne pojmove, razumije gradivo, ali ga ne zna primijeniti, niti obrazložiti vlastitim primjerima, uz pomoć nastavnika rješava jednostavne zadatke, nije dovoljno samostalan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Vrlo dobar</w:t>
      </w:r>
      <w:r>
        <w:rPr>
          <w:rFonts w:cs="Times New Roman" w:ascii="Times New Roman" w:hAnsi="Times New Roman"/>
          <w:sz w:val="28"/>
          <w:szCs w:val="28"/>
        </w:rPr>
        <w:t>: razumije gradivo, služi se usvojenim znanjem, navodi vlastite primjere, samostalno rješava složenije zadatke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Odličan</w:t>
      </w:r>
      <w:r>
        <w:rPr>
          <w:rFonts w:cs="Times New Roman" w:ascii="Times New Roman" w:hAnsi="Times New Roman"/>
          <w:sz w:val="28"/>
          <w:szCs w:val="28"/>
        </w:rPr>
        <w:t>: stečeno znanje primjenjuje na nove, složenije primjere, uspješno izvršava korelaciju sa srodnim gradivom, sposoban je prenositi znanje na druge, služi se dodatnim izvorima znanja i informacijama iz različitih medija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Kriteriji u pisanim provjerama: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  <w:tab/>
        <w:tab/>
        <w:tab/>
        <w:tab/>
        <w:tab/>
        <w:t>0% - 49% nedovoljan (1)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  <w:tab/>
        <w:tab/>
        <w:tab/>
        <w:tab/>
        <w:tab/>
        <w:t>50% - 62% dovoljan (2)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  <w:tab/>
        <w:tab/>
        <w:tab/>
        <w:tab/>
        <w:tab/>
        <w:t>63% - 77% dobar (3)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  <w:tab/>
        <w:tab/>
        <w:tab/>
        <w:tab/>
        <w:tab/>
        <w:t>78% - 89% vrlo dobar (4)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  <w:tab/>
        <w:tab/>
        <w:tab/>
        <w:tab/>
        <w:tab/>
        <w:t>90% - 100% odličan (5)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Napomena: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Pisana provjera najavljuje se najmanje 15 dana unaprijed.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Tijekom nastavne godine učenici pišu 4 pisane provjere znanja.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Pregled i ocjenjivanje zadataka iz radne bilježnice se može provesti na svim satovima tijekom nastavne godine.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Kriteriji ocjenjivanja se odnose i na učenike s poteškoćama te su njihovi zadaci prilagođeni ovisno o poteškoćama koje imaju.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Prirodoznanstvene kompetencije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Style w:val="Kurziv"/>
          <w:rFonts w:cs="Times New Roman" w:ascii="Times New Roman" w:hAnsi="Times New Roman"/>
          <w:i/>
          <w:iCs/>
          <w:color w:val="231F20"/>
          <w:sz w:val="28"/>
          <w:szCs w:val="28"/>
        </w:rPr>
        <w:t xml:space="preserve">Prirodoznanstvene kompetencije </w:t>
      </w:r>
      <w:r>
        <w:rPr>
          <w:rFonts w:cs="Times New Roman" w:ascii="Times New Roman" w:hAnsi="Times New Roman"/>
          <w:color w:val="231F20"/>
          <w:sz w:val="28"/>
          <w:szCs w:val="28"/>
          <w:shd w:fill="FFFFFF" w:val="clear"/>
        </w:rPr>
        <w:t>podrazumijevaju prosudbe o vještinama povezivanja rezultata pokusa s konceptualnim spoznajama, primjenu matematičkih vještina i uočavanje zakonitosti uopćavanjem podataka.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Nedovoljan</w:t>
      </w:r>
      <w:r>
        <w:rPr>
          <w:rFonts w:cs="Times New Roman" w:ascii="Times New Roman" w:hAnsi="Times New Roman"/>
          <w:sz w:val="28"/>
          <w:szCs w:val="28"/>
        </w:rPr>
        <w:t>: ne izvršava zadatke, ne surađuje, zaokupljen drugim aktivnostima, ometa ostale učenike u radu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Dovoljan:</w:t>
      </w:r>
      <w:r>
        <w:rPr>
          <w:rFonts w:cs="Times New Roman" w:ascii="Times New Roman" w:hAnsi="Times New Roman"/>
          <w:sz w:val="28"/>
          <w:szCs w:val="28"/>
        </w:rPr>
        <w:t xml:space="preserve"> radi samo uz poticaj i pomoć, nizak radni tempo, interes za rad slab, u radu spor i površan, zabilješke i crteži nejasni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Dobar:</w:t>
      </w:r>
      <w:r>
        <w:rPr>
          <w:rFonts w:cs="Times New Roman" w:ascii="Times New Roman" w:hAnsi="Times New Roman"/>
          <w:sz w:val="28"/>
          <w:szCs w:val="28"/>
        </w:rPr>
        <w:t xml:space="preserve"> osrednji interes za rad, promjenjiv radni tempo, teško otkriva uzročno – posljedične veze, zabilješke i crteži uredni, rezultate rada prezentira uz pomoć nastavnika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Vrlo dobar</w:t>
      </w:r>
      <w:r>
        <w:rPr>
          <w:rFonts w:cs="Times New Roman" w:ascii="Times New Roman" w:hAnsi="Times New Roman"/>
          <w:sz w:val="28"/>
          <w:szCs w:val="28"/>
        </w:rPr>
        <w:t>: umjeren radni tempo, uporan i ustrajan u radu, zainteresiran za rad, uspješan u izvršavanju zadataka, uočava i prati promjene u praktičnom radu, ali nije samostalan u donošenju zaključaka, uredno i detaljno prikazuje rezultate, crteže i vodi zabilješke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Odličan:</w:t>
      </w:r>
      <w:r>
        <w:rPr>
          <w:rFonts w:cs="Times New Roman" w:ascii="Times New Roman" w:hAnsi="Times New Roman"/>
          <w:sz w:val="28"/>
          <w:szCs w:val="28"/>
        </w:rPr>
        <w:t xml:space="preserve"> visok radni tempo, radi brzo, točno i sigurno, uspješan u izvršavanju zadataka, izvrstan u donošenju zaključaka, s lakoćom otkriva uzročno – posljedične veze, stečeno znanje primjenjuje u praktičnom radu, samostalno i jasno prezentira rezultate svoga rada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Vrednovanje plakata</w:t>
      </w: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  <w:u w:val="single"/>
        </w:rPr>
        <w:t>/ PPT prezentacija</w:t>
      </w:r>
    </w:p>
    <w:tbl>
      <w:tblPr>
        <w:tblW w:w="9052" w:type="dxa"/>
        <w:jc w:val="left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1422"/>
        <w:gridCol w:w="1849"/>
        <w:gridCol w:w="1943"/>
        <w:gridCol w:w="1906"/>
        <w:gridCol w:w="1932"/>
      </w:tblGrid>
      <w:tr>
        <w:trPr/>
        <w:tc>
          <w:tcPr>
            <w:tcW w:w="14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Opis učeničkog postignuća i ocjene</w:t>
            </w:r>
          </w:p>
        </w:tc>
        <w:tc>
          <w:tcPr>
            <w:tcW w:w="19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>
            <w:pPr>
              <w:pStyle w:val="Normal"/>
              <w:widowControl w:val="false"/>
              <w:spacing w:lineRule="auto" w:line="240" w:before="100" w:after="100"/>
              <w:rPr>
                <w:rFonts w:ascii="Calibri" w:hAnsi="Calibri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  <w:p>
            <w:pPr>
              <w:pStyle w:val="Normal"/>
              <w:widowControl w:val="false"/>
              <w:spacing w:lineRule="auto" w:line="240" w:before="100" w:after="100"/>
              <w:rPr>
                <w:rFonts w:ascii="Calibri" w:hAnsi="Calibri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>
            <w:pPr>
              <w:pStyle w:val="Normal"/>
              <w:widowControl w:val="false"/>
              <w:spacing w:lineRule="auto" w:line="240" w:before="100" w:after="100"/>
              <w:rPr>
                <w:rFonts w:ascii="Calibri" w:hAnsi="Calibri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>
            <w:pPr>
              <w:pStyle w:val="Normal"/>
              <w:widowControl w:val="false"/>
              <w:spacing w:lineRule="auto" w:line="240" w:before="100" w:after="100"/>
              <w:rPr>
                <w:rFonts w:ascii="Calibri" w:hAnsi="Calibri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>
        <w:trPr/>
        <w:tc>
          <w:tcPr>
            <w:tcW w:w="14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Sastavnice/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 xml:space="preserve">elementi </w:t>
            </w:r>
          </w:p>
        </w:tc>
        <w:tc>
          <w:tcPr>
            <w:tcW w:w="18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Dovoljan (2)</w:t>
            </w:r>
          </w:p>
        </w:tc>
        <w:tc>
          <w:tcPr>
            <w:tcW w:w="19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Dobar(3)</w:t>
            </w:r>
          </w:p>
        </w:tc>
        <w:tc>
          <w:tcPr>
            <w:tcW w:w="19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Vrlo dobar (4)</w:t>
            </w:r>
          </w:p>
        </w:tc>
        <w:tc>
          <w:tcPr>
            <w:tcW w:w="1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Odličan(5)</w:t>
            </w:r>
          </w:p>
        </w:tc>
      </w:tr>
      <w:tr>
        <w:trPr/>
        <w:tc>
          <w:tcPr>
            <w:tcW w:w="14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>
            <w:pPr>
              <w:pStyle w:val="Normal"/>
              <w:widowControl w:val="false"/>
              <w:spacing w:lineRule="auto" w:line="240" w:before="100" w:after="100"/>
              <w:rPr>
                <w:rFonts w:ascii="Calibri" w:hAnsi="Calibri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Izgled plakata/ prezentacije</w:t>
            </w:r>
          </w:p>
        </w:tc>
        <w:tc>
          <w:tcPr>
            <w:tcW w:w="18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>
            <w:pPr>
              <w:pStyle w:val="Normal"/>
              <w:widowControl w:val="false"/>
              <w:spacing w:lineRule="auto" w:line="240" w:before="100" w:after="0"/>
              <w:rPr>
                <w:rFonts w:ascii="Calibri" w:hAnsi="Calibri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Bez vizualnih osobitosti; sadržaji su nasumično postavljeni; nedostaju slike; neurednost; greške u pravopisu</w:t>
            </w:r>
          </w:p>
        </w:tc>
        <w:tc>
          <w:tcPr>
            <w:tcW w:w="19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>
            <w:pPr>
              <w:pStyle w:val="Normal"/>
              <w:widowControl w:val="false"/>
              <w:spacing w:lineRule="auto" w:line="240" w:before="100" w:after="100"/>
              <w:rPr>
                <w:rFonts w:ascii="Calibri" w:hAnsi="Calibri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Pojedini dijelovi plakata/ prezentacije su prazni, a pojedini pretrpani; nedostaju slike ili tekst; slova su nečitljiva s veće udaljenosti</w:t>
            </w:r>
          </w:p>
        </w:tc>
        <w:tc>
          <w:tcPr>
            <w:tcW w:w="19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>
            <w:pPr>
              <w:pStyle w:val="Normal"/>
              <w:widowControl w:val="false"/>
              <w:spacing w:lineRule="auto" w:line="240" w:before="100" w:after="100"/>
              <w:rPr>
                <w:rFonts w:ascii="Calibri" w:hAnsi="Calibri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Plakat / prezentacija uredan, ali ne privlači pozornost; na plakatu ima previše teksta, a slova bi trebala biti veća kao i naslov rada.</w:t>
            </w:r>
          </w:p>
        </w:tc>
        <w:tc>
          <w:tcPr>
            <w:tcW w:w="1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>
            <w:pPr>
              <w:pStyle w:val="Normal"/>
              <w:widowControl w:val="false"/>
              <w:spacing w:lineRule="auto" w:line="240" w:before="100" w:after="100"/>
              <w:rPr>
                <w:rFonts w:ascii="Calibri" w:hAnsi="Calibri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Snažan vizualni dojam; odličan omjer teksta i slika; očita je kreativnost u izradi plakata, dobra veličina slova</w:t>
            </w:r>
          </w:p>
        </w:tc>
      </w:tr>
      <w:tr>
        <w:trPr/>
        <w:tc>
          <w:tcPr>
            <w:tcW w:w="14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>
            <w:pPr>
              <w:pStyle w:val="Normal"/>
              <w:widowControl w:val="false"/>
              <w:spacing w:lineRule="auto" w:line="240" w:before="100" w:after="100"/>
              <w:rPr>
                <w:rFonts w:ascii="Calibri" w:hAnsi="Calibri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Sadržaj plakata / prezentacije</w:t>
            </w:r>
          </w:p>
        </w:tc>
        <w:tc>
          <w:tcPr>
            <w:tcW w:w="18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>
            <w:pPr>
              <w:pStyle w:val="Normal"/>
              <w:widowControl w:val="false"/>
              <w:spacing w:lineRule="auto" w:line="240" w:before="100" w:after="100"/>
              <w:rPr>
                <w:rFonts w:ascii="Calibri" w:hAnsi="Calibri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Većina sadržaja se ne odnosi na temu; neprimjeren uzrastu i predznanju. Sadržaji su preuzeti iz znanstveno neprovjerenih izvora. Ne razlikuju se glavni i sporedni sadržaji. </w:t>
            </w:r>
          </w:p>
        </w:tc>
        <w:tc>
          <w:tcPr>
            <w:tcW w:w="19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>
            <w:pPr>
              <w:pStyle w:val="Normal"/>
              <w:widowControl w:val="false"/>
              <w:spacing w:lineRule="auto" w:line="240" w:before="100" w:after="100"/>
              <w:rPr>
                <w:rFonts w:ascii="Calibri" w:hAnsi="Calibri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Sadržaji nisu dobro odabrani (prelagani ili presloženi). Učenici ne razumiju pojedine pojmove.</w:t>
            </w:r>
          </w:p>
          <w:p>
            <w:pPr>
              <w:pStyle w:val="Normal"/>
              <w:widowControl w:val="false"/>
              <w:spacing w:lineRule="auto" w:line="240" w:before="100" w:after="100"/>
              <w:rPr>
                <w:rFonts w:ascii="Calibri" w:hAnsi="Calibri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Logički slijed postoji, ali bez uvodnog dijela i zaključka.</w:t>
            </w:r>
          </w:p>
        </w:tc>
        <w:tc>
          <w:tcPr>
            <w:tcW w:w="19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>
            <w:pPr>
              <w:pStyle w:val="Normal"/>
              <w:widowControl w:val="false"/>
              <w:spacing w:lineRule="auto" w:line="240" w:before="100" w:after="100"/>
              <w:rPr>
                <w:rFonts w:ascii="Calibri" w:hAnsi="Calibri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Pojedini sadržaji nisu primjereni uzrastu učenika, ali većina dobro opisuje temu.</w:t>
            </w:r>
          </w:p>
          <w:p>
            <w:pPr>
              <w:pStyle w:val="Normal"/>
              <w:widowControl w:val="false"/>
              <w:spacing w:lineRule="auto" w:line="240" w:before="100" w:after="100"/>
              <w:rPr>
                <w:rFonts w:ascii="Calibri" w:hAnsi="Calibri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Sadržaji imaju logički slijed, samo neki odlomci sadrže previše teksta. </w:t>
            </w:r>
          </w:p>
        </w:tc>
        <w:tc>
          <w:tcPr>
            <w:tcW w:w="1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>
            <w:pPr>
              <w:pStyle w:val="Normal"/>
              <w:widowControl w:val="false"/>
              <w:spacing w:lineRule="auto" w:line="240" w:before="100" w:after="100"/>
              <w:rPr>
                <w:rFonts w:ascii="Calibri" w:hAnsi="Calibri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Odabrani sadržaji odlično opisuju temu; prilagođeni uzrastu i predznanju učenika i znanstveno su utemeljeni.</w:t>
            </w:r>
          </w:p>
          <w:p>
            <w:pPr>
              <w:pStyle w:val="Normal"/>
              <w:widowControl w:val="false"/>
              <w:spacing w:lineRule="auto" w:line="240" w:before="100" w:after="100"/>
              <w:rPr>
                <w:rFonts w:ascii="Calibri" w:hAnsi="Calibri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Sadržaji su složeni  logičkim slijedom; u obliku odlomaka; svaki odlomak prikazan uz korištenje natuknica</w:t>
            </w:r>
          </w:p>
        </w:tc>
      </w:tr>
      <w:tr>
        <w:trPr/>
        <w:tc>
          <w:tcPr>
            <w:tcW w:w="14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>
            <w:pPr>
              <w:pStyle w:val="Normal"/>
              <w:widowControl w:val="false"/>
              <w:spacing w:lineRule="auto" w:line="240" w:before="100" w:after="100"/>
              <w:rPr>
                <w:rFonts w:ascii="Calibri" w:hAnsi="Calibri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Prezentacija plakata /PPT prezentacija</w:t>
            </w:r>
          </w:p>
        </w:tc>
        <w:tc>
          <w:tcPr>
            <w:tcW w:w="18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>
            <w:pPr>
              <w:pStyle w:val="Normal"/>
              <w:widowControl w:val="false"/>
              <w:spacing w:lineRule="auto" w:line="240" w:before="100" w:after="100"/>
              <w:rPr>
                <w:rFonts w:ascii="Calibri" w:hAnsi="Calibri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Učenik se nije pripremio za izlaganje, ne zna odgovoriti na pitanja učitelja i učenika.</w:t>
            </w:r>
          </w:p>
        </w:tc>
        <w:tc>
          <w:tcPr>
            <w:tcW w:w="19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>
            <w:pPr>
              <w:pStyle w:val="Normal"/>
              <w:widowControl w:val="false"/>
              <w:spacing w:lineRule="auto" w:line="240" w:before="100" w:after="100"/>
              <w:rPr>
                <w:rFonts w:ascii="Calibri" w:hAnsi="Calibri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Učenik tijekom izlaganja čita s plakata/ prezentacije; izbjegava komunikaciju s učiteljem i učenicima</w:t>
            </w:r>
          </w:p>
        </w:tc>
        <w:tc>
          <w:tcPr>
            <w:tcW w:w="19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>
            <w:pPr>
              <w:pStyle w:val="Normal"/>
              <w:widowControl w:val="false"/>
              <w:spacing w:lineRule="auto" w:line="240" w:before="100" w:after="100"/>
              <w:rPr>
                <w:rFonts w:ascii="Calibri" w:hAnsi="Calibri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Učenik pokazuje manju nesigurnost u komunikaciji s učiteljem i učenicima</w:t>
            </w:r>
          </w:p>
        </w:tc>
        <w:tc>
          <w:tcPr>
            <w:tcW w:w="19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>
            <w:pPr>
              <w:pStyle w:val="Normal"/>
              <w:widowControl w:val="false"/>
              <w:spacing w:lineRule="auto" w:line="240" w:before="100" w:after="100"/>
              <w:rPr>
                <w:rFonts w:ascii="Calibri" w:hAnsi="Calibri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Učenik s lakoćom izlaže i uspostavlja komunikaciju s učiteljem i učenicima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Zaključna ocjena</w:t>
      </w:r>
      <w:r>
        <w:rPr>
          <w:rFonts w:cs="Times New Roman" w:ascii="Times New Roman" w:hAnsi="Times New Roman"/>
          <w:sz w:val="28"/>
          <w:szCs w:val="28"/>
        </w:rPr>
        <w:t xml:space="preserve"> treba odražavati ono što je učenik dominantno pokazao u vrednovanju naučenoga u pojedinim elementima, ali i znanja i vještine procijenjene u vrednovanju kao učenje i za učenje. U slučaju izbora dvaju elemenata ocjenjivanja, usvojenost kemijskih koncepata nosi 50 % ocjene, koliko i prirodoznanstvene kompetencije. Zaključna ocjena proizlazi iz svih prethodno navedenih elemenata ocjenjivanja po udjelima kako je napisano.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Napomena:</w:t>
      </w:r>
      <w:r>
        <w:rPr>
          <w:rFonts w:cs="Times New Roman" w:ascii="Times New Roman" w:hAnsi="Times New Roman"/>
          <w:sz w:val="28"/>
          <w:szCs w:val="28"/>
        </w:rPr>
        <w:t xml:space="preserve"> ako učenik tijekom cijele godine nema niti jednu pozitivnu ocjenu u sastavnici „usvojenost kemijskih koncepata“, te „prirodoznanstvene kompetencije“, zaključna ocjena na kraju ne može biti pozitivna.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>Učiteljica: Nikolina Aužina_________________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73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87ed8"/>
    <w:rPr>
      <w:rFonts w:ascii="Tahoma" w:hAnsi="Tahoma" w:cs="Tahoma"/>
      <w:sz w:val="16"/>
      <w:szCs w:val="16"/>
    </w:rPr>
  </w:style>
  <w:style w:type="character" w:styleId="Kurziv" w:customStyle="1">
    <w:name w:val="kurziv"/>
    <w:basedOn w:val="DefaultParagraphFont"/>
    <w:qFormat/>
    <w:rsid w:val="00854ebb"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87ed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Application>LibreOffice/7.0.1.2$Windows_X86_64 LibreOffice_project/7cbcfc562f6eb6708b5ff7d7397325de9e764452</Application>
  <Pages>4</Pages>
  <Words>705</Words>
  <Characters>4512</Characters>
  <CharactersWithSpaces>5211</CharactersWithSpaces>
  <Paragraphs>64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2019-09-17T15:38:00Z</dcterms:created>
  <dc:creator>Nikolina Periša</dc:creator>
  <dc:description/>
  <dc:language>hr-HR</dc:language>
  <cp:lastModifiedBy/>
  <cp:lastPrinted>2018-08-27T11:22:00Z</cp:lastPrinted>
  <dcterms:modified xsi:type="dcterms:W3CDTF">2024-09-12T13:01:44Z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